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Silvia,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Kyle Wood</w:t>
              <w:br/>
              <w:t>600 Lexington Avenue, Floor 2</w:t>
              <w:br/>
              <w:t>New York, NY, 10022</w:t>
              <w:br/>
              <w:t>415-515-7301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Anthony Pompliano</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298,001.00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14,349,594.00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298,001.00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14,349,594.00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14,647,595.00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17.37 %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84,310,440 shares of Common Stock outstanding as of September 18, 2026, as confirmed by the Issuer's transfer agent.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Inflection Points Inc, d/b/a Professional Capital Management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14,349,594.00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14,349,594.00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14,349,594.00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17.02 %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84,310,440 shares of Common Stock outstanding as of September 18, 2026, as confirmed by the Issuer's transfer agent.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Item 1.</w:t>
            </w:r>
          </w:p>
        </w:tc>
        <w:tc>
          <w:tcPr>
            <w:tcW w:w="9034" w:type="dxa"/>
            <w:tcBorders/>
            <w:vAlign w:val="center"/>
          </w:tcPr>
          <w:p>
            <w:pPr>
              <w:pStyle w:val="TableContents"/>
              <w:bidi w:val="0"/>
              <w:spacing w:before="0" w:after="283"/>
              <w:jc w:val="left"/>
              <w:rPr/>
            </w:pPr>
            <w:r>
              <w:rPr/>
              <w:t>Security and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jc w:val="left"/>
              <w:rPr/>
            </w:pPr>
            <w:r>
              <w:rPr/>
              <w:t xml:space="preserve">Name of Issuer: </w:t>
            </w:r>
          </w:p>
          <w:p>
            <w:pPr>
              <w:pStyle w:val="TableContents"/>
              <w:bidi w:val="0"/>
              <w:spacing w:before="0" w:after="0"/>
              <w:jc w:val="left"/>
              <w:rPr/>
            </w:pPr>
            <w:r>
              <w:rPr/>
              <w:t>Silvia, Inc.</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Lexington Avenue, Floor 2, NEW YORK, NEW YORK , 10022.</w:t>
            </w:r>
          </w:p>
        </w:tc>
      </w:tr>
      <w:tr>
        <w:trPr/>
        <w:tc>
          <w:tcPr>
            <w:tcW w:w="1171" w:type="dxa"/>
            <w:tcBorders/>
            <w:vAlign w:val="center"/>
          </w:tcPr>
          <w:p>
            <w:pPr>
              <w:pStyle w:val="TableContents"/>
              <w:bidi w:val="0"/>
              <w:spacing w:before="0" w:after="283"/>
              <w:jc w:val="left"/>
              <w:rPr/>
            </w:pPr>
            <w:r>
              <w:rPr/>
              <w:t>Item 3.</w:t>
            </w:r>
          </w:p>
        </w:tc>
        <w:tc>
          <w:tcPr>
            <w:tcW w:w="9034" w:type="dxa"/>
            <w:tcBorders/>
            <w:vAlign w:val="center"/>
          </w:tcPr>
          <w:p>
            <w:pPr>
              <w:pStyle w:val="TableContents"/>
              <w:bidi w:val="0"/>
              <w:spacing w:before="0" w:after="283"/>
              <w:jc w:val="left"/>
              <w:rPr/>
            </w:pPr>
            <w:r>
              <w:rPr/>
              <w:t>Source and Amount of Funds or Other Consideration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No shares of Common Stock were acquired by the Reporting Persons in connection with the event requiring the filing of this Amendment No. 2. The change in the Reporting Persons' percentage ownership reported herein results solely from a reduction in the number of shares of Common Stock outstanding as a result of repurchases of Common Stock by the Issuer.</w:t>
            </w:r>
          </w:p>
        </w:tc>
      </w:tr>
      <w:tr>
        <w:trPr/>
        <w:tc>
          <w:tcPr>
            <w:tcW w:w="1171" w:type="dxa"/>
            <w:tcBorders/>
            <w:vAlign w:val="center"/>
          </w:tcPr>
          <w:p>
            <w:pPr>
              <w:pStyle w:val="TableContents"/>
              <w:bidi w:val="0"/>
              <w:spacing w:before="0" w:after="283"/>
              <w:jc w:val="left"/>
              <w:rPr/>
            </w:pPr>
            <w:r>
              <w:rPr/>
              <w:t>Item 4.</w:t>
            </w:r>
          </w:p>
        </w:tc>
        <w:tc>
          <w:tcPr>
            <w:tcW w:w="9034" w:type="dxa"/>
            <w:tcBorders/>
            <w:vAlign w:val="center"/>
          </w:tcPr>
          <w:p>
            <w:pPr>
              <w:pStyle w:val="TableContents"/>
              <w:bidi w:val="0"/>
              <w:spacing w:before="0" w:after="283"/>
              <w:jc w:val="left"/>
              <w:rPr/>
            </w:pPr>
            <w:r>
              <w:rPr/>
              <w:t>Purpose of Transaction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The Reporting Persons did not participate in the Issuer's share repurchase program. As previously disclosed in Item 6 of the Schedule 13D, pursuant to the Silvia Merger Agreement, for a period of two (2) years following the Closing Date, Professional Capital Management is prohibited from participating in any repurchase by the Issuer of Common Stock. The information set forth in Item 4 of the Schedule 13D with respect to the Reporting Persons' plans and proposals, and their reservation of the right to change such plans and proposals, remains unchanged. Mr. Pompliano continues to serve as Chairman and Chief Executive Officer of the Issuer and, in that capacity, participates in the Issuer's decisions with respect to the matters described in Item 4 of Schedule 13D, including the Issuer's share repurchase program.</w:t>
            </w:r>
          </w:p>
        </w:tc>
      </w:tr>
      <w:tr>
        <w:trPr/>
        <w:tc>
          <w:tcPr>
            <w:tcW w:w="1171" w:type="dxa"/>
            <w:tcBorders/>
            <w:vAlign w:val="center"/>
          </w:tcPr>
          <w:p>
            <w:pPr>
              <w:pStyle w:val="TableContents"/>
              <w:bidi w:val="0"/>
              <w:spacing w:before="0" w:after="283"/>
              <w:jc w:val="left"/>
              <w:rPr/>
            </w:pPr>
            <w:r>
              <w:rPr/>
              <w:t>Item 5.</w:t>
            </w:r>
          </w:p>
        </w:tc>
        <w:tc>
          <w:tcPr>
            <w:tcW w:w="9034" w:type="dxa"/>
            <w:tcBorders/>
            <w:vAlign w:val="center"/>
          </w:tcPr>
          <w:p>
            <w:pPr>
              <w:pStyle w:val="TableContents"/>
              <w:bidi w:val="0"/>
              <w:spacing w:before="0" w:after="283"/>
              <w:jc w:val="left"/>
              <w:rPr/>
            </w:pPr>
            <w:r>
              <w:rPr/>
              <w:t>Interest in Securities of the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The Reporting Persons beneficially own an aggregate of 14,647,595 shares of Common Stock, representing approximately 17.37% of the outstanding Common Stock, as follows: (i) 298,001 shares of Common Stock held directly by Mr. Pompliano, and (ii) 14,349,594 shares of Common Stock held by Professional Capital Management. Mr. Pompliano is the Chief Executive Officer of Professional Capital Management and maintains beneficial ownership, including voting and dispositive control, over the shares of Common Stock held by Professional Capital Management. The percentage ownership set forth in Row (13) of the cover pages of this Amendment No. 2 is based on 84,310,440 shares of Common Stock outstanding as of September 18, 2026, as confirmed by the Issuer's transfer agent. The percentage ownership of the Reporting Persons has increased from 16.43% as reported in Amendment No. 1 solely as a result of a reduction in the number of shares of Common Stock outstanding due to repurchases of Common Stock by the Issuer. The 14,647,595 shares of Common Stock reported herein exclude the 453,426 Escrow Shares, which remain in the Escrow Account and over which the Reporting Persons do not have voting or dispositive power, and any Earnout Shares that may be issued pursuant to the Silvia Merger Agreement.</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Mr. Pompliano has the sole power to vote or to direct the vote, and the sole power to dispose or to direct the disposition, of the 298,001 shares of Common Stock held directly by him, and shares the power to vote or to direct the vote, and the power to dispose or to direct the disposition, of the 14,349,594 shares of Common Stock held by Professional Capital Management. Such shares are set forth in Rows (7) through (10) of the cover pages of this Amendment No. 2.</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Except as described in this Amendment No. 2, the Reporting Persons have not effected any transactions in shares of Common Stock during the past sixty (60) days.</w:t>
            </w:r>
          </w:p>
        </w:tc>
      </w:tr>
      <w:tr>
        <w:trPr/>
        <w:tc>
          <w:tcPr>
            <w:tcW w:w="1171" w:type="dxa"/>
            <w:tcBorders/>
            <w:vAlign w:val="center"/>
          </w:tcPr>
          <w:p>
            <w:pPr>
              <w:pStyle w:val="TableContents"/>
              <w:bidi w:val="0"/>
              <w:spacing w:before="0" w:after="283"/>
              <w:jc w:val="left"/>
              <w:rPr/>
            </w:pPr>
            <w:r>
              <w:rPr/>
              <w:t>(d)</w:t>
            </w:r>
          </w:p>
        </w:tc>
        <w:tc>
          <w:tcPr>
            <w:tcW w:w="9034" w:type="dxa"/>
            <w:tcBorders/>
            <w:vAlign w:val="center"/>
          </w:tcPr>
          <w:p>
            <w:pPr>
              <w:pStyle w:val="TableContents"/>
              <w:bidi w:val="0"/>
              <w:spacing w:before="0" w:after="0"/>
              <w:jc w:val="left"/>
              <w:rPr/>
            </w:pPr>
            <w:r>
              <w:rPr/>
              <w:t>N/A</w:t>
            </w:r>
          </w:p>
        </w:tc>
      </w:tr>
      <w:tr>
        <w:trPr/>
        <w:tc>
          <w:tcPr>
            <w:tcW w:w="1171" w:type="dxa"/>
            <w:tcBorders/>
            <w:vAlign w:val="center"/>
          </w:tcPr>
          <w:p>
            <w:pPr>
              <w:pStyle w:val="TableContents"/>
              <w:bidi w:val="0"/>
              <w:spacing w:before="0" w:after="283"/>
              <w:jc w:val="left"/>
              <w:rPr/>
            </w:pPr>
            <w:r>
              <w:rPr/>
              <w:t>(e)</w:t>
            </w:r>
          </w:p>
        </w:tc>
        <w:tc>
          <w:tcPr>
            <w:tcW w:w="9034" w:type="dxa"/>
            <w:tcBorders/>
            <w:vAlign w:val="center"/>
          </w:tcPr>
          <w:p>
            <w:pPr>
              <w:pStyle w:val="TableContents"/>
              <w:bidi w:val="0"/>
              <w:spacing w:before="0" w:after="0"/>
              <w:jc w:val="left"/>
              <w:rPr/>
            </w:pPr>
            <w:r>
              <w:rPr/>
              <w:t>N/A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Anthony Pompliano</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Anthony Pompliano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Individual</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22"/>
        <w:gridCol w:w="4983"/>
      </w:tblGrid>
      <w:tr>
        <w:trPr/>
        <w:tc>
          <w:tcPr>
            <w:tcW w:w="5222" w:type="dxa"/>
            <w:tcBorders/>
            <w:vAlign w:val="center"/>
          </w:tcPr>
          <w:p>
            <w:pPr>
              <w:pStyle w:val="TableContents"/>
              <w:bidi w:val="0"/>
              <w:spacing w:before="0" w:after="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0"/>
                    <w:jc w:val="left"/>
                    <w:rPr/>
                  </w:pPr>
                  <w:r>
                    <w:rPr/>
                    <w:t>Inflection Points Inc, d/b/a Professional Capital Management</w:t>
                  </w:r>
                </w:p>
              </w:tc>
            </w:tr>
          </w:tbl>
          <w:p>
            <w:pPr>
              <w:pStyle w:val="TableContents"/>
              <w:bidi w:val="0"/>
              <w:spacing w:before="0" w:after="283"/>
              <w:jc w:val="left"/>
              <w:rPr/>
            </w:pPr>
            <w:r>
              <w:rPr/>
            </w:r>
          </w:p>
        </w:tc>
        <w:tc>
          <w:tcPr>
            <w:tcW w:w="49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Anthony Pompliano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Anthony Pompliano, CEO</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1132</Words>
  <Characters>5889</Characters>
  <CharactersWithSpaces>6950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